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E0C95">
        <w:rPr>
          <w:rFonts w:ascii="Times New Roman" w:hAnsi="Times New Roman" w:cs="Times New Roman"/>
        </w:rPr>
        <w:t xml:space="preserve"> г.</w:t>
      </w:r>
    </w:p>
    <w:p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proofErr w:type="spellStart"/>
      <w:r w:rsidRPr="003A2356">
        <w:rPr>
          <w:rFonts w:ascii="Times New Roman" w:hAnsi="Times New Roman" w:cs="Times New Roman"/>
        </w:rPr>
        <w:t>Сырбу</w:t>
      </w:r>
      <w:proofErr w:type="spellEnd"/>
      <w:r w:rsidRPr="003A2356">
        <w:rPr>
          <w:rFonts w:ascii="Times New Roman" w:hAnsi="Times New Roman" w:cs="Times New Roman"/>
        </w:rPr>
        <w:t xml:space="preserve">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2021г.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  <w:proofErr w:type="gramEnd"/>
    </w:p>
    <w:p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AD5319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«Товар») в</w:t>
      </w:r>
      <w:r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  <w:proofErr w:type="gramEnd"/>
    </w:p>
    <w:p w:rsidR="007B5C93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(транспортные</w:t>
      </w:r>
      <w:proofErr w:type="gramEnd"/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погрузочно-разгрузочные расходы, по хранению товара, маркировки, уплату пошлин, налогов и сборов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а также любые денежные сборы, взимаемые с Поставщика в связи с исполнением условий настоящего Контракта.</w:t>
      </w:r>
    </w:p>
    <w:p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предложений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proofErr w:type="gramStart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банковским</w:t>
      </w:r>
      <w:proofErr w:type="gramEnd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регистрации настоящего контракта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E0C95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УСЛОВИЯ И ПОРЯДОК ПОСТАВКИ ТОВАРА</w:t>
      </w:r>
      <w:bookmarkEnd w:id="2"/>
    </w:p>
    <w:p w:rsidR="007B5C93" w:rsidRPr="004E0C95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течение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дней </w:t>
      </w:r>
      <w:r w:rsidRPr="00C37506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 момента осуществления предоплаты, согласно пункту 3.1.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осуществляется на склад Покупателя 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со склада Поставщика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5E738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Все расходы, связанные с транспортировкой Товара на склад Покупателя и разгрузкой Товара на складе Покупателя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5E738B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Покупатель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 паспорта на Товар, свидетельство</w:t>
      </w:r>
      <w:r w:rsidR="007B5C93" w:rsidRPr="00A77DB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12166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Контракта без вмешательства в оперативную хозяйственную деятельность Поставщика.</w:t>
      </w:r>
    </w:p>
    <w:p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законодательством страны происхождения Товара для подтверждения качества соответствующих товаров.</w:t>
      </w:r>
    </w:p>
    <w:p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</w:t>
      </w:r>
      <w:proofErr w:type="gramStart"/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предоставить вышеуказанные документы</w:t>
      </w:r>
      <w:proofErr w:type="gramEnd"/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</w:t>
      </w:r>
      <w:proofErr w:type="gramEnd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, после поступления Товара на склад Покупателя.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  <w:proofErr w:type="gramEnd"/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</w:t>
      </w:r>
      <w:proofErr w:type="gram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proofErr w:type="gramStart"/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</w:t>
      </w:r>
      <w:proofErr w:type="gramStart"/>
      <w:r w:rsidRPr="007D2B4C">
        <w:rPr>
          <w:rFonts w:ascii="Times New Roman" w:eastAsia="Times New Roman" w:hAnsi="Times New Roman" w:cs="Times New Roman"/>
          <w:lang w:eastAsia="ru-RU"/>
        </w:rPr>
        <w:t>заменить его на качественный</w:t>
      </w:r>
      <w:proofErr w:type="gramEnd"/>
      <w:r w:rsidRPr="007D2B4C">
        <w:rPr>
          <w:rFonts w:ascii="Times New Roman" w:eastAsia="Times New Roman" w:hAnsi="Times New Roman" w:cs="Times New Roman"/>
          <w:lang w:eastAsia="ru-RU"/>
        </w:rPr>
        <w:t xml:space="preserve"> и комплектный товар.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качество поставленного Товара в течение срока, установленного заводом-изготовителем Товара, но не менее </w:t>
      </w:r>
      <w:r w:rsidR="0021320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="00C6105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20290">
        <w:rPr>
          <w:rFonts w:ascii="Times New Roman" w:eastAsia="Times New Roman" w:hAnsi="Times New Roman" w:cs="Times New Roman"/>
          <w:color w:val="000000"/>
          <w:lang w:eastAsia="ru-RU"/>
        </w:rPr>
        <w:t>шестидесяти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) календарных месяцев с момента фактической поставки Товара на условиях настоящего Контракта.</w:t>
      </w:r>
    </w:p>
    <w:p w:rsidR="00F3574D" w:rsidRPr="004E0C95" w:rsidRDefault="00F3574D" w:rsidP="00F35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_GoBack"/>
      <w:bookmarkEnd w:id="3"/>
    </w:p>
    <w:p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E0C95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</w:t>
      </w:r>
      <w:proofErr w:type="gramEnd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МАЖОР</w:t>
      </w:r>
    </w:p>
    <w:p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  <w:proofErr w:type="gramEnd"/>
    </w:p>
    <w:p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</w:t>
      </w:r>
      <w:proofErr w:type="gramStart"/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615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6C567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возникшие между Сторонами споры, либо разногласия не могут быть решены и урегулированы вышеуказанным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они подлежат рассмотрению в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</w:t>
      </w:r>
      <w:proofErr w:type="gramStart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кт вст</w:t>
      </w:r>
      <w:proofErr w:type="gramEnd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71E8">
              <w:rPr>
                <w:rFonts w:ascii="Times New Roman" w:hAnsi="Times New Roman" w:cs="Times New Roman"/>
              </w:rPr>
              <w:t>р</w:t>
            </w:r>
            <w:proofErr w:type="gramEnd"/>
            <w:r w:rsidRPr="00CF71E8">
              <w:rPr>
                <w:rFonts w:ascii="Times New Roman" w:hAnsi="Times New Roman" w:cs="Times New Roman"/>
              </w:rPr>
              <w:t>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F71E8">
              <w:rPr>
                <w:rFonts w:ascii="Times New Roman" w:hAnsi="Times New Roman" w:cs="Times New Roman"/>
              </w:rPr>
              <w:t>к</w:t>
            </w:r>
            <w:proofErr w:type="gramEnd"/>
            <w:r w:rsidRPr="00CF71E8">
              <w:rPr>
                <w:rFonts w:ascii="Times New Roman" w:hAnsi="Times New Roman" w:cs="Times New Roman"/>
              </w:rPr>
              <w:t>/с 20210000094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</w:t>
            </w:r>
            <w:proofErr w:type="spellStart"/>
            <w:r w:rsidRPr="00CF71E8">
              <w:rPr>
                <w:rFonts w:ascii="Times New Roman" w:eastAsia="Calibri" w:hAnsi="Times New Roman" w:cs="Times New Roman"/>
                <w:b/>
              </w:rPr>
              <w:t>Сырбу</w:t>
            </w:r>
            <w:proofErr w:type="spellEnd"/>
            <w:r w:rsidRPr="00CF7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Default="008B5DF8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2021 г</w:t>
      </w:r>
      <w:r w:rsidRPr="00DE4DDF">
        <w:rPr>
          <w:rFonts w:ascii="Times New Roman" w:hAnsi="Times New Roman"/>
        </w:rPr>
        <w:t>.</w:t>
      </w:r>
    </w:p>
    <w:p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 xml:space="preserve">_____ 2021 </w:t>
      </w:r>
      <w:r w:rsidRPr="00863229">
        <w:rPr>
          <w:rFonts w:ascii="Times New Roman" w:hAnsi="Times New Roman"/>
        </w:rPr>
        <w:t>г.</w:t>
      </w:r>
    </w:p>
    <w:p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F95565" w:rsidTr="00F045A3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95565">
              <w:rPr>
                <w:rFonts w:ascii="Times New Roman" w:hAnsi="Times New Roman"/>
                <w:b/>
              </w:rPr>
              <w:t>п</w:t>
            </w:r>
            <w:proofErr w:type="gramEnd"/>
            <w:r w:rsidRPr="00F9556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5565">
              <w:rPr>
                <w:rFonts w:ascii="Times New Roman" w:hAnsi="Times New Roman"/>
                <w:b/>
              </w:rPr>
              <w:t>Цена</w:t>
            </w:r>
            <w:proofErr w:type="gramStart"/>
            <w:r>
              <w:rPr>
                <w:rFonts w:ascii="Times New Roman" w:hAnsi="Times New Roman"/>
                <w:b/>
              </w:rPr>
              <w:t>,р</w:t>
            </w:r>
            <w:proofErr w:type="gramEnd"/>
            <w:r>
              <w:rPr>
                <w:rFonts w:ascii="Times New Roman" w:hAnsi="Times New Roman"/>
                <w:b/>
              </w:rPr>
              <w:t>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 ПМР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>,</w:t>
            </w:r>
            <w:r w:rsidRPr="00F95565">
              <w:rPr>
                <w:rFonts w:ascii="Times New Roman" w:hAnsi="Times New Roman"/>
                <w:b/>
              </w:rPr>
              <w:t xml:space="preserve">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  <w:r w:rsidRPr="00F95565">
              <w:rPr>
                <w:rFonts w:ascii="Times New Roman" w:hAnsi="Times New Roman"/>
                <w:b/>
              </w:rPr>
              <w:t xml:space="preserve"> ПМР</w:t>
            </w: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proofErr w:type="gramStart"/>
      <w:r w:rsidRPr="00CD396A">
        <w:rPr>
          <w:rFonts w:ascii="Times New Roman" w:hAnsi="Times New Roman"/>
        </w:rPr>
        <w:t>р</w:t>
      </w:r>
      <w:proofErr w:type="gramEnd"/>
      <w:r w:rsidRPr="00CD396A">
        <w:rPr>
          <w:rFonts w:ascii="Times New Roman" w:hAnsi="Times New Roman"/>
        </w:rPr>
        <w:t xml:space="preserve">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 xml:space="preserve">В.И. </w:t>
      </w:r>
      <w:proofErr w:type="spellStart"/>
      <w:r w:rsidRPr="00CD396A">
        <w:rPr>
          <w:rFonts w:ascii="Times New Roman" w:hAnsi="Times New Roman"/>
        </w:rPr>
        <w:t>Сырбу</w:t>
      </w:r>
      <w:proofErr w:type="spellEnd"/>
    </w:p>
    <w:p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9"/>
      <w:headerReference w:type="first" r:id="rId10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57" w:rsidRDefault="00C61057" w:rsidP="007B5C93">
      <w:pPr>
        <w:spacing w:after="0" w:line="240" w:lineRule="auto"/>
      </w:pPr>
      <w:r>
        <w:separator/>
      </w:r>
    </w:p>
  </w:endnote>
  <w:endnote w:type="continuationSeparator" w:id="0">
    <w:p w:rsidR="00C61057" w:rsidRDefault="00C61057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320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57" w:rsidRDefault="00C61057" w:rsidP="007B5C93">
      <w:pPr>
        <w:spacing w:after="0" w:line="240" w:lineRule="auto"/>
      </w:pPr>
      <w:r>
        <w:separator/>
      </w:r>
    </w:p>
  </w:footnote>
  <w:footnote w:type="continuationSeparator" w:id="0">
    <w:p w:rsidR="00C61057" w:rsidRDefault="00C61057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50321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213205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B5DF8"/>
    <w:rsid w:val="008F28AA"/>
    <w:rsid w:val="00915176"/>
    <w:rsid w:val="00917EF6"/>
    <w:rsid w:val="00920290"/>
    <w:rsid w:val="009637B8"/>
    <w:rsid w:val="00971A9B"/>
    <w:rsid w:val="009B3E28"/>
    <w:rsid w:val="009F1E67"/>
    <w:rsid w:val="00A62FB7"/>
    <w:rsid w:val="00A77DBE"/>
    <w:rsid w:val="00A84AEA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93752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E102A9"/>
    <w:rsid w:val="00E25DDD"/>
    <w:rsid w:val="00E7314C"/>
    <w:rsid w:val="00E819F4"/>
    <w:rsid w:val="00EC18BE"/>
    <w:rsid w:val="00F3574D"/>
    <w:rsid w:val="00F80095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eres_119</cp:lastModifiedBy>
  <cp:revision>11</cp:revision>
  <cp:lastPrinted>2021-03-23T13:09:00Z</cp:lastPrinted>
  <dcterms:created xsi:type="dcterms:W3CDTF">2021-02-26T13:56:00Z</dcterms:created>
  <dcterms:modified xsi:type="dcterms:W3CDTF">2021-03-26T06:38:00Z</dcterms:modified>
</cp:coreProperties>
</file>